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sz w:val="30"/>
          <w:szCs w:val="30"/>
        </w:rPr>
        <w:t>12 avril 2014.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UN DE NOUS : « Le débat le plus authentique depuis 10 ans »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>Chers amis de Femina Europa,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           L’audition publique de l’initiative citoyenne « Un de nous » (1,9 millions de signatures), a eu lieu jeudi  10 avril au Parlement européen de Bruxelles, dans un hémicycle bondé de 400 personnes et une ambiance réactive.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            Deux membres de Femina Europa étaient dans la salle, venues soutenir l’initiative en votre nom.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           Jusqu’au tout dernier moment, le débat fut menacé par des tentatives de monopolisation du temps de parole venant de fonctionnaires et élus européens hostiles.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            Après une présentation de l’initiative par son représentant, </w:t>
      </w:r>
      <w:proofErr w:type="spellStart"/>
      <w:r>
        <w:rPr>
          <w:rFonts w:ascii="Calibri" w:hAnsi="Calibri" w:cs="Calibri"/>
          <w:sz w:val="30"/>
          <w:szCs w:val="30"/>
        </w:rPr>
        <w:t>Grégor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Puppinck</w:t>
      </w:r>
      <w:proofErr w:type="spellEnd"/>
      <w:r>
        <w:rPr>
          <w:rFonts w:ascii="Calibri" w:hAnsi="Calibri" w:cs="Calibri"/>
          <w:sz w:val="30"/>
          <w:szCs w:val="30"/>
        </w:rPr>
        <w:t>, directeur de l’ECLJ, Centre Européen pour la Loi et la Justice, le débat eut bien lieu entre les commissaires de l’UE, les organisateurs de la pétition, et de nombreux parlementaires.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             Il s’agissait pour le comité des citoyens représentant les pays d’Europe de demander à l’Union européenne </w:t>
      </w:r>
      <w:proofErr w:type="gramStart"/>
      <w:r>
        <w:rPr>
          <w:rFonts w:ascii="Calibri" w:hAnsi="Calibri" w:cs="Calibri"/>
          <w:sz w:val="30"/>
          <w:szCs w:val="30"/>
        </w:rPr>
        <w:t>l’</w:t>
      </w:r>
      <w:r>
        <w:rPr>
          <w:rFonts w:ascii="Calibri" w:hAnsi="Calibri" w:cs="Calibri"/>
          <w:i/>
          <w:iCs/>
          <w:sz w:val="30"/>
          <w:szCs w:val="30"/>
        </w:rPr>
        <w:t xml:space="preserve"> interdiction</w:t>
      </w:r>
      <w:proofErr w:type="gramEnd"/>
      <w:r>
        <w:rPr>
          <w:rFonts w:ascii="Calibri" w:hAnsi="Calibri" w:cs="Calibri"/>
          <w:i/>
          <w:iCs/>
          <w:sz w:val="30"/>
          <w:szCs w:val="30"/>
        </w:rPr>
        <w:t xml:space="preserve"> du financement des programmes conduisant à la destruction d’embryons humains</w:t>
      </w:r>
      <w:r>
        <w:rPr>
          <w:rFonts w:ascii="Calibri" w:hAnsi="Calibri" w:cs="Calibri"/>
          <w:sz w:val="30"/>
          <w:szCs w:val="30"/>
        </w:rPr>
        <w:t xml:space="preserve"> - spécialement dans le domaine de la recherche, de l’aide au développement et de la santé publique.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             Gregor </w:t>
      </w:r>
      <w:proofErr w:type="spellStart"/>
      <w:r>
        <w:rPr>
          <w:rFonts w:ascii="Calibri" w:hAnsi="Calibri" w:cs="Calibri"/>
          <w:sz w:val="30"/>
          <w:szCs w:val="30"/>
        </w:rPr>
        <w:t>Puppinck</w:t>
      </w:r>
      <w:proofErr w:type="spellEnd"/>
      <w:r>
        <w:rPr>
          <w:rFonts w:ascii="Calibri" w:hAnsi="Calibri" w:cs="Calibri"/>
          <w:sz w:val="30"/>
          <w:szCs w:val="30"/>
        </w:rPr>
        <w:t xml:space="preserve"> fit valoir que ce combat est celui des droits de l’homme : le parlement européen est censé protéger la vie et la dignité de l’homme, face à l’idéologie, la recherche de la productivité et aux multinationales financières médicales.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             Outre des méconnaissances flagrantes, des incohérences et de la </w:t>
      </w:r>
      <w:r>
        <w:rPr>
          <w:rFonts w:ascii="Calibri" w:hAnsi="Calibri" w:cs="Calibri"/>
          <w:sz w:val="30"/>
          <w:szCs w:val="30"/>
        </w:rPr>
        <w:lastRenderedPageBreak/>
        <w:t xml:space="preserve">mauvaise foi en matière scientifique dont ont fait preuve certains membres de la commission, le débat </w:t>
      </w:r>
      <w:proofErr w:type="gramStart"/>
      <w:r>
        <w:rPr>
          <w:rFonts w:ascii="Calibri" w:hAnsi="Calibri" w:cs="Calibri"/>
          <w:sz w:val="30"/>
          <w:szCs w:val="30"/>
        </w:rPr>
        <w:t>fut</w:t>
      </w:r>
      <w:proofErr w:type="gramEnd"/>
      <w:r>
        <w:rPr>
          <w:rFonts w:ascii="Calibri" w:hAnsi="Calibri" w:cs="Calibri"/>
          <w:sz w:val="30"/>
          <w:szCs w:val="30"/>
        </w:rPr>
        <w:t xml:space="preserve"> plusieurs fois volontairement dévié de son sujet.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              Sophia </w:t>
      </w:r>
      <w:proofErr w:type="spellStart"/>
      <w:r>
        <w:rPr>
          <w:rFonts w:ascii="Calibri" w:hAnsi="Calibri" w:cs="Calibri"/>
          <w:sz w:val="30"/>
          <w:szCs w:val="30"/>
        </w:rPr>
        <w:t>Kuby</w:t>
      </w:r>
      <w:proofErr w:type="spellEnd"/>
      <w:r>
        <w:rPr>
          <w:rFonts w:ascii="Calibri" w:hAnsi="Calibri" w:cs="Calibri"/>
          <w:sz w:val="30"/>
          <w:szCs w:val="30"/>
        </w:rPr>
        <w:t xml:space="preserve">, Directrice de </w:t>
      </w:r>
      <w:proofErr w:type="spellStart"/>
      <w:r>
        <w:rPr>
          <w:rFonts w:ascii="Calibri" w:hAnsi="Calibri" w:cs="Calibri"/>
          <w:sz w:val="30"/>
          <w:szCs w:val="30"/>
        </w:rPr>
        <w:t>European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Dignity</w:t>
      </w:r>
      <w:proofErr w:type="spellEnd"/>
      <w:r>
        <w:rPr>
          <w:rFonts w:ascii="Calibri" w:hAnsi="Calibri" w:cs="Calibri"/>
          <w:sz w:val="30"/>
          <w:szCs w:val="30"/>
        </w:rPr>
        <w:t xml:space="preserve"> Watch,  dut rappeler qu’il ne s’agissait pas de débattre de l’avortement mais de la protection de l’embryon humain et de la juste destination de l’aide au développement. 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             A plusieurs occasions, l’incohérence de la politique de recherche, du fait de la non-brevetabilité du vivant et du principe de subsidiarité, par exemple, servit de faire valoir  aux arguments d’appel au réveil de la conscience observé depuis quelques </w:t>
      </w:r>
      <w:r>
        <w:rPr>
          <w:rFonts w:ascii="Calibri" w:hAnsi="Calibri" w:cs="Calibri"/>
          <w:color w:val="1A1A1A"/>
          <w:sz w:val="30"/>
          <w:szCs w:val="30"/>
        </w:rPr>
        <w:t>ann</w:t>
      </w:r>
      <w:r>
        <w:rPr>
          <w:rFonts w:ascii="Calibri" w:hAnsi="Calibri" w:cs="Calibri"/>
          <w:sz w:val="30"/>
          <w:szCs w:val="30"/>
        </w:rPr>
        <w:t>ées. La salle montra plusieurs fois son accord par de vibrants applaudissements.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            Cette audition marque un tournant dans l’histoire de l’Union Européenne.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             Dorénavant, le débat sera plus culturel et éthique que politico-juridique. Pour Gregor </w:t>
      </w:r>
      <w:proofErr w:type="spellStart"/>
      <w:r>
        <w:rPr>
          <w:rFonts w:ascii="Calibri" w:hAnsi="Calibri" w:cs="Calibri"/>
          <w:sz w:val="30"/>
          <w:szCs w:val="30"/>
        </w:rPr>
        <w:t>Puppinck</w:t>
      </w:r>
      <w:proofErr w:type="spellEnd"/>
      <w:r>
        <w:rPr>
          <w:rFonts w:ascii="Calibri" w:hAnsi="Calibri" w:cs="Calibri"/>
          <w:sz w:val="30"/>
          <w:szCs w:val="30"/>
        </w:rPr>
        <w:t>, cette audition est le début d’une démarche recentrée sur la personne humaine. Il faut répondre à la voix de notre conscience, aller à l’encontre de nos égoïsmes, renoncer au pouvoir sur les autres, rehausser le niveau de nos valeurs, progresser en humanité.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            Le 28 mai, le collège des commissaires  devra soit  présenter une proposition législative allant dans le sens de l’initiative citoyenne, soit expliquer pourquoi elle ne donne pas suite.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             Femina Europa se réjouit du succès de cette journée d’audition et adresse ses remerciements à tous ceux qui ont signé cette initiative « un de nous ».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             A bientôt!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19AF" w:rsidRDefault="00CB19AF" w:rsidP="00CB19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CB19AF" w:rsidRDefault="00CB19AF" w:rsidP="00CB19A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B19AF" w:rsidRDefault="00CB19AF" w:rsidP="00CB19A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CB19AF" w:rsidRDefault="00CB19AF" w:rsidP="00CB19A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CB19AF" w:rsidRDefault="00CB19AF" w:rsidP="00CB19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32"/>
          <w:szCs w:val="32"/>
        </w:rPr>
      </w:pPr>
    </w:p>
    <w:p w:rsidR="00C82E72" w:rsidRDefault="00C82E72"/>
    <w:sectPr w:rsidR="00C82E72" w:rsidSect="00687EB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AF"/>
    <w:rsid w:val="002F0E7A"/>
    <w:rsid w:val="00C82E72"/>
    <w:rsid w:val="00C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F7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9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9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9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9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2014-05-14T09:23:00Z</dcterms:created>
  <dcterms:modified xsi:type="dcterms:W3CDTF">2014-05-14T09:25:00Z</dcterms:modified>
</cp:coreProperties>
</file>